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29DE" w:rsidRDefault="00DB3423">
      <w:pPr>
        <w:pStyle w:val="Standard"/>
      </w:pPr>
      <w:bookmarkStart w:id="0" w:name="_GoBack"/>
      <w:bookmarkEnd w:id="0"/>
      <w:r>
        <w:rPr>
          <w:i/>
        </w:rPr>
        <w:t>Spunti per l’intervento del CT FSE nel tavolo OP 4_secondo incontro 13.06.2019</w:t>
      </w:r>
    </w:p>
    <w:p w:rsidR="00BF29DE" w:rsidRDefault="00BF29DE">
      <w:pPr>
        <w:pStyle w:val="Standard"/>
      </w:pPr>
    </w:p>
    <w:p w:rsidR="00BF29DE" w:rsidRDefault="00DB3423">
      <w:pPr>
        <w:pStyle w:val="Standard"/>
        <w:jc w:val="both"/>
      </w:pPr>
      <w:r>
        <w:t xml:space="preserve">Gli interventi di Istruzione e formazione costituiscono un insieme molto ampio nell’ambito della realtà </w:t>
      </w:r>
      <w:r>
        <w:t>attuativa dei PO delle Regioni. Si può infatti sostenere che la gran parte delle azioni dei POR sia costituito da attività che ricadono nell’ambito dell’istruzione e della formazione.</w:t>
      </w:r>
    </w:p>
    <w:p w:rsidR="00BF29DE" w:rsidRDefault="00DB3423">
      <w:pPr>
        <w:pStyle w:val="Standard"/>
        <w:jc w:val="both"/>
      </w:pPr>
      <w:r>
        <w:t>Esse possono essere ricondotte senz’altro al cluster di obiettivi specif</w:t>
      </w:r>
      <w:r>
        <w:t>ici in esame, del quale sono anche strumenti di intervento, ma in ragione delle esigenze dei territori, dei contesti di attuazione, del taglio specifico dato alle azioni, si ritrovano in modo trasversale nei PO.</w:t>
      </w:r>
    </w:p>
    <w:p w:rsidR="00BF29DE" w:rsidRDefault="00DB3423">
      <w:pPr>
        <w:pStyle w:val="Standard"/>
        <w:jc w:val="both"/>
      </w:pPr>
      <w:r>
        <w:t>I filoni di intervento cui si farà brevement</w:t>
      </w:r>
      <w:r>
        <w:t>e cenno – infatti- sono realizzati in larga parte nell’OT 10, ma alcuni di grande rilevanza sono attuati dalle Regioni anche nell’OT 8 e per alcuni aspetti strategici non secondari, in taluni casi anche in OT 9.</w:t>
      </w:r>
    </w:p>
    <w:p w:rsidR="00BF29DE" w:rsidRDefault="00DB3423">
      <w:pPr>
        <w:pStyle w:val="Standard"/>
        <w:jc w:val="both"/>
      </w:pPr>
      <w:r>
        <w:t>In particolare per fornire al Tavolo una pan</w:t>
      </w:r>
      <w:r>
        <w:t xml:space="preserve">oramica, non esaustiva ma significativa, si propongono le principali tipologie di intervento in fase di realizzazione sui territori con il FSE 2014-2020 che si possono ascrivere all’ambito “istruzione e formazione”, esse concorrono attualmente - e possono </w:t>
      </w:r>
      <w:r>
        <w:t>concorrere in futuro - al raggiungimento di una pluralità di obiettivi specifici, da non circoscrivere esclusivamente al 4 e 5 del FSE+.</w:t>
      </w:r>
    </w:p>
    <w:p w:rsidR="00BF29DE" w:rsidRDefault="00DB3423">
      <w:pPr>
        <w:pStyle w:val="Standard"/>
        <w:jc w:val="both"/>
      </w:pPr>
      <w:r>
        <w:t>Gli interventi per la prima infanzia non sono trattati in questa sede perché saranno invece descritti e approfonditi si</w:t>
      </w:r>
      <w:r>
        <w:t>a in ottica di conciliazione che di servizi educativi, quando si tratterà il tema delle pari opportunità.</w:t>
      </w:r>
    </w:p>
    <w:p w:rsidR="00BF29DE" w:rsidRDefault="00DB3423">
      <w:pPr>
        <w:pStyle w:val="Standard"/>
        <w:jc w:val="both"/>
      </w:pPr>
      <w:r>
        <w:t>Sempre sul piano del metodo occorre tener presente che le attuali priorità di investimento in campo Istruzione e formazione sono in larga misura ricon</w:t>
      </w:r>
      <w:r>
        <w:t>ducibili ai futuri OS del FSE+ sebbene questi ultimi, appaiano semplificati e, in quanto obiettivi, depurati di azioni ed elementi più operativi che caratterizzavano le Priorità del 14-20.</w:t>
      </w:r>
    </w:p>
    <w:p w:rsidR="00BF29DE" w:rsidRDefault="00DB3423">
      <w:pPr>
        <w:pStyle w:val="Standard"/>
        <w:jc w:val="both"/>
      </w:pPr>
      <w:r>
        <w:t>In questo senso dunque si rileva l'assenza di una esplicita menzion</w:t>
      </w:r>
      <w:r>
        <w:t>e degli interventi a contrasto della dispersione e a favore del successo formativo che tuttavia possono essere ricomprese nell'obiettivo di “</w:t>
      </w:r>
      <w:r>
        <w:rPr>
          <w:rFonts w:eastAsia="Calibri" w:cs="Calibri"/>
          <w:color w:val="000000"/>
        </w:rPr>
        <w:t xml:space="preserve">Promuovere la parità di accesso e </w:t>
      </w:r>
      <w:r>
        <w:rPr>
          <w:rFonts w:eastAsia="Calibri" w:cs="Calibri"/>
          <w:color w:val="000000"/>
          <w:u w:val="single"/>
        </w:rPr>
        <w:t>di completamento</w:t>
      </w:r>
      <w:r>
        <w:rPr>
          <w:rFonts w:eastAsia="Calibri" w:cs="Calibri"/>
          <w:color w:val="000000"/>
        </w:rPr>
        <w:t xml:space="preserve"> di un'istruzione e una formazione inclusive e di qualità....”.</w:t>
      </w:r>
    </w:p>
    <w:p w:rsidR="00BF29DE" w:rsidRDefault="00DB3423">
      <w:pPr>
        <w:pStyle w:val="Standard"/>
        <w:jc w:val="both"/>
      </w:pPr>
      <w:r>
        <w:t>U</w:t>
      </w:r>
      <w:r>
        <w:t xml:space="preserve">na veloce ricognizione dello stato di attuazione dalle RAA ha confermato la rilevanza di questo ambito che potrebbe essere denominato “Interventi per il </w:t>
      </w:r>
      <w:r>
        <w:rPr>
          <w:u w:val="single"/>
        </w:rPr>
        <w:t>successo formativo</w:t>
      </w:r>
      <w:r>
        <w:t xml:space="preserve">, il </w:t>
      </w:r>
      <w:r>
        <w:rPr>
          <w:u w:val="single"/>
        </w:rPr>
        <w:t>contrasto al drop out</w:t>
      </w:r>
      <w:r>
        <w:t xml:space="preserve"> e il recupero /rafforzamento delle competenze di base.”</w:t>
      </w:r>
    </w:p>
    <w:p w:rsidR="00BF29DE" w:rsidRDefault="00DB3423">
      <w:pPr>
        <w:pStyle w:val="Standard"/>
        <w:jc w:val="both"/>
      </w:pPr>
      <w:r>
        <w:t>Qu</w:t>
      </w:r>
      <w:r>
        <w:t xml:space="preserve">esti percorsi e progetti sono riconducibili all'attuale PdI (10.i) che a livello di programmazione risulta quella più corposa e sono </w:t>
      </w:r>
      <w:r>
        <w:rPr>
          <w:u w:val="single"/>
        </w:rPr>
        <w:t>attuati anche con le scuole</w:t>
      </w:r>
      <w:r>
        <w:t>.</w:t>
      </w:r>
    </w:p>
    <w:p w:rsidR="00BF29DE" w:rsidRDefault="00DB3423">
      <w:pPr>
        <w:pStyle w:val="Standard"/>
        <w:jc w:val="both"/>
      </w:pPr>
      <w:r>
        <w:t>Si pensi a interventi di grande impatto quali quelli realizzati da alcune regioni del Mezzogio</w:t>
      </w:r>
      <w:r>
        <w:t xml:space="preserve">rno (Sardegna, Campania, Puglia), alcuni dei quali sono a regime dalla 2007-2013 (premiati in concorsi internazionali di buone pratiche), coinvolgono la gran parte delle scuole del territorio che sono diventate peraltro punti di aggregazione, di socialità </w:t>
      </w:r>
      <w:r>
        <w:t>e di vita al di fuori dell’orario scolastico.  I destinatari sono decine di migliaia.</w:t>
      </w:r>
    </w:p>
    <w:p w:rsidR="00BF29DE" w:rsidRDefault="00DB3423">
      <w:pPr>
        <w:pStyle w:val="Standard"/>
        <w:jc w:val="both"/>
      </w:pPr>
      <w:r>
        <w:t xml:space="preserve">Esempi ne sono gli interventi SCUOLA VIVA, DIRITTI A SCUOLA, TUTTO A SCUOLA </w:t>
      </w:r>
      <w:r>
        <w:rPr>
          <w:shd w:val="clear" w:color="auto" w:fill="FFFF00"/>
        </w:rPr>
        <w:t>(in sala Regione Sardegna  e Regione Campania potranno raccontare le loro esperienze</w:t>
      </w:r>
      <w:r>
        <w:t>)</w:t>
      </w:r>
    </w:p>
    <w:p w:rsidR="00BF29DE" w:rsidRDefault="00DB3423">
      <w:pPr>
        <w:pStyle w:val="Standard"/>
        <w:jc w:val="both"/>
      </w:pPr>
      <w:r>
        <w:t>Con le s</w:t>
      </w:r>
      <w:r>
        <w:t xml:space="preserve">cuole, in ogni caso, vengono realizzati dalle Regioni anche numerosi interventi sul rafforzamento linguistico, gare interdisciplinari, soggiorni studio sempre in chiave di miglioramento delle competenze di base. </w:t>
      </w:r>
    </w:p>
    <w:p w:rsidR="00BF29DE" w:rsidRDefault="00DB3423">
      <w:pPr>
        <w:pStyle w:val="Standard"/>
        <w:jc w:val="both"/>
      </w:pPr>
      <w:r>
        <w:t>Un filone di assoluta rilevanza (</w:t>
      </w:r>
      <w:r>
        <w:rPr>
          <w:shd w:val="clear" w:color="auto" w:fill="FFFF00"/>
        </w:rPr>
        <w:t>già richia</w:t>
      </w:r>
      <w:r>
        <w:rPr>
          <w:shd w:val="clear" w:color="auto" w:fill="FFFF00"/>
        </w:rPr>
        <w:t>mato da Anpal</w:t>
      </w:r>
      <w:r>
        <w:t xml:space="preserve">) è quello </w:t>
      </w:r>
      <w:r>
        <w:rPr>
          <w:b/>
          <w:u w:val="single"/>
        </w:rPr>
        <w:t>dell’IeFP</w:t>
      </w:r>
      <w:r>
        <w:t xml:space="preserve">; una linea di intervento di notevoli dimensioni per quello che riguarda l’impegno finanziario (fino al 20% in alcuni PO), che ormai costituisce una </w:t>
      </w:r>
      <w:r>
        <w:lastRenderedPageBreak/>
        <w:t>policy attuata dalla quasi totalità delle Regioni, in alcuni casi con le s</w:t>
      </w:r>
      <w:r>
        <w:t>cuole in altri nel sistema della FP. Esso è ascrivibile con relativa facilità a numerosi OS del nuovo quadro regolamentare.</w:t>
      </w:r>
    </w:p>
    <w:p w:rsidR="00BF29DE" w:rsidRDefault="00DB3423">
      <w:pPr>
        <w:pStyle w:val="Standard"/>
        <w:jc w:val="both"/>
      </w:pPr>
      <w:r>
        <w:t>Esso costituisce, infatti, allo stesso tempo - e a seconda dei contesti-  una politica di seconda opportunità od un vero e proprio i</w:t>
      </w:r>
      <w:r>
        <w:t>ntervento di diritto allo studio; utilizzata in chiave anti dispersione e/o anche in chiave inclusiva, offre opportunità di professionalizzazione ed è realizzata dalle regioni anche fra le principali politiche in favore dei giovani.</w:t>
      </w:r>
    </w:p>
    <w:p w:rsidR="00BF29DE" w:rsidRDefault="00DB3423">
      <w:pPr>
        <w:pStyle w:val="Standard"/>
        <w:jc w:val="both"/>
      </w:pPr>
      <w:r>
        <w:t>Va ricordata la formazi</w:t>
      </w:r>
      <w:r>
        <w:t>one per i giovani assunti con contratto di apprendistato che, nella sua componente più qualificata (primo e terzo livello) si configura quale modalità specifica di acquisizione dei titoli dell'IeFP (e del diploma quinquennale) e della formazione terziaria.</w:t>
      </w:r>
    </w:p>
    <w:p w:rsidR="00BF29DE" w:rsidRDefault="00DB3423">
      <w:pPr>
        <w:pStyle w:val="Standard"/>
        <w:jc w:val="both"/>
      </w:pPr>
      <w:r>
        <w:t xml:space="preserve">Sempre ragionando in continuità fra l'attuale ciclo e il perimetro degli OS 21-27 per quanto riguarda la </w:t>
      </w:r>
      <w:r>
        <w:rPr>
          <w:u w:val="single"/>
        </w:rPr>
        <w:t>formazione superiore e l'istruzione di livello terziario</w:t>
      </w:r>
      <w:r>
        <w:t>, che compare esplicitamente nell'OS 5, un ambito di intervento molto diffuso e ormai a regime</w:t>
      </w:r>
      <w:r>
        <w:t xml:space="preserve"> riguarda la filiera </w:t>
      </w:r>
      <w:r>
        <w:rPr>
          <w:b/>
          <w:bCs/>
          <w:u w:val="single"/>
        </w:rPr>
        <w:t>della IFTS e dell’ITS</w:t>
      </w:r>
      <w:r>
        <w:t>, interventi anch’essi realizzati su tutti i territori.</w:t>
      </w:r>
    </w:p>
    <w:p w:rsidR="00BF29DE" w:rsidRDefault="00DB3423">
      <w:pPr>
        <w:pStyle w:val="Standard"/>
        <w:jc w:val="both"/>
      </w:pPr>
      <w:r>
        <w:t xml:space="preserve">Inoltre su questo versante ci sono da un lato corposi interventi </w:t>
      </w:r>
      <w:r>
        <w:rPr>
          <w:u w:val="single"/>
        </w:rPr>
        <w:t>per garantire il diritto allo studio</w:t>
      </w:r>
      <w:r>
        <w:t xml:space="preserve">, dall’altro il </w:t>
      </w:r>
      <w:r>
        <w:rPr>
          <w:u w:val="single"/>
        </w:rPr>
        <w:t>finanziamento a favore dei partecipanti a</w:t>
      </w:r>
      <w:r>
        <w:rPr>
          <w:u w:val="single"/>
        </w:rPr>
        <w:t xml:space="preserve"> dottorati, master</w:t>
      </w:r>
      <w:r>
        <w:t xml:space="preserve">. Infine </w:t>
      </w:r>
      <w:r>
        <w:rPr>
          <w:u w:val="single"/>
        </w:rPr>
        <w:t>assegni di ricerca</w:t>
      </w:r>
      <w:r>
        <w:t xml:space="preserve"> ed azioni di rafforzamento dell’occupabilità nel settore dell’alta formazione.</w:t>
      </w:r>
    </w:p>
    <w:p w:rsidR="00BF29DE" w:rsidRDefault="00DB3423">
      <w:pPr>
        <w:pStyle w:val="Standard"/>
        <w:jc w:val="both"/>
      </w:pPr>
      <w:r>
        <w:t xml:space="preserve">In merito alla </w:t>
      </w:r>
      <w:r>
        <w:rPr>
          <w:u w:val="single"/>
        </w:rPr>
        <w:t>rilevanza del mercato del lavoro per i sistemi di istruzione e formazione</w:t>
      </w:r>
      <w:r>
        <w:t>, va citata la rilevantissima attività di</w:t>
      </w:r>
      <w:r>
        <w:rPr>
          <w:b/>
          <w:bCs/>
        </w:rPr>
        <w:t xml:space="preserve"> </w:t>
      </w:r>
      <w:r>
        <w:rPr>
          <w:b/>
          <w:bCs/>
        </w:rPr>
        <w:t>Orientamento</w:t>
      </w:r>
      <w:r>
        <w:t xml:space="preserve"> finanziata da numerose regioni: alcune che agiscono attraverso azioni di sistema, rafforzamento delle reti e delle professionalità, nelle scuole (es. Liguria), in centri specializzati (FVG) o in uscita dalle Università (Toscana), altre che si </w:t>
      </w:r>
      <w:r>
        <w:t>focalizzano nei percorsi di istruzione e di formazione (Piemonte, Basilicata).</w:t>
      </w:r>
    </w:p>
    <w:p w:rsidR="00BF29DE" w:rsidRDefault="00DB3423">
      <w:pPr>
        <w:widowControl/>
        <w:suppressAutoHyphens w:val="0"/>
        <w:spacing w:after="0" w:line="240" w:lineRule="auto"/>
        <w:jc w:val="both"/>
        <w:textAlignment w:val="auto"/>
      </w:pPr>
      <w:r>
        <w:t xml:space="preserve">Infine va ricordata </w:t>
      </w:r>
      <w:r>
        <w:rPr>
          <w:u w:val="single"/>
        </w:rPr>
        <w:t>la formazione degli adulti</w:t>
      </w:r>
      <w:r>
        <w:t>, non tanto nell'accezione di formazione permanente, (che se abbiamo colto, formerà l'oggetto di un successivo incontro dedicato al</w:t>
      </w:r>
      <w:r>
        <w:t>la formazione per disoccupati e continua), quanto di riqualificazione delle competenze e, soprattutto, acquisizione dei titoli di studio per i soggetti che hanno abbandonato anzitempo i percorsi dell'educazione formale. Quest'ultimo pare un tema che, ancor</w:t>
      </w:r>
      <w:r>
        <w:t>ché spesso trascurato, si porrà con grande rilevanza in considerazione delle tendenze demografiche e del presumibile ulteriore prolungamento della vita attiva, soprattutto in regioni come il Piemonte in cui è molto diffusa tra gli occupati la presenza di b</w:t>
      </w:r>
      <w:r>
        <w:t>assi titoli di studio e/o competenze divenute obsolete.</w:t>
      </w:r>
    </w:p>
    <w:p w:rsidR="00BF29DE" w:rsidRDefault="00DB3423">
      <w:pPr>
        <w:widowControl/>
        <w:suppressAutoHyphens w:val="0"/>
        <w:spacing w:after="0" w:line="240" w:lineRule="auto"/>
        <w:textAlignment w:val="auto"/>
        <w:rPr>
          <w:rFonts w:ascii="Times New Roman" w:eastAsia="Times New Roman" w:hAnsi="Times New Roman" w:cs="Times New Roman"/>
          <w:kern w:val="0"/>
          <w:sz w:val="24"/>
          <w:szCs w:val="24"/>
          <w:lang w:eastAsia="it-IT"/>
        </w:rPr>
      </w:pPr>
      <w:r>
        <w:rPr>
          <w:rFonts w:ascii="Times New Roman" w:eastAsia="Times New Roman" w:hAnsi="Times New Roman" w:cs="Times New Roman"/>
          <w:kern w:val="0"/>
          <w:sz w:val="24"/>
          <w:szCs w:val="24"/>
          <w:lang w:eastAsia="it-IT"/>
        </w:rPr>
        <w:t> </w:t>
      </w:r>
    </w:p>
    <w:p w:rsidR="00BF29DE" w:rsidRDefault="00BF29DE">
      <w:pPr>
        <w:pStyle w:val="Standard"/>
        <w:jc w:val="both"/>
      </w:pPr>
    </w:p>
    <w:p w:rsidR="00BF29DE" w:rsidRDefault="00BF29DE">
      <w:pPr>
        <w:pStyle w:val="Standard"/>
        <w:jc w:val="both"/>
      </w:pPr>
    </w:p>
    <w:p w:rsidR="00BF29DE" w:rsidRDefault="00BF29DE">
      <w:pPr>
        <w:pStyle w:val="Standard"/>
        <w:jc w:val="both"/>
      </w:pPr>
    </w:p>
    <w:p w:rsidR="00BF29DE" w:rsidRDefault="00BF29DE">
      <w:pPr>
        <w:pStyle w:val="Standard"/>
        <w:jc w:val="both"/>
      </w:pPr>
    </w:p>
    <w:p w:rsidR="00BF29DE" w:rsidRDefault="00BF29DE">
      <w:pPr>
        <w:pStyle w:val="Standard"/>
      </w:pPr>
    </w:p>
    <w:sectPr w:rsidR="00BF29DE">
      <w:footerReference w:type="default" r:id="rId6"/>
      <w:pgSz w:w="11906" w:h="16838"/>
      <w:pgMar w:top="1417" w:right="1134" w:bottom="1134" w:left="1134" w:header="720"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3423" w:rsidRDefault="00DB3423">
      <w:pPr>
        <w:spacing w:after="0" w:line="240" w:lineRule="auto"/>
      </w:pPr>
      <w:r>
        <w:separator/>
      </w:r>
    </w:p>
  </w:endnote>
  <w:endnote w:type="continuationSeparator" w:id="0">
    <w:p w:rsidR="00DB3423" w:rsidRDefault="00DB34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Lucida Sans">
    <w:charset w:val="00"/>
    <w:family w:val="swiss"/>
    <w:pitch w:val="variable"/>
  </w:font>
  <w:font w:name="Calibri Light">
    <w:panose1 w:val="020F0302020204030204"/>
    <w:charset w:val="00"/>
    <w:family w:val="swiss"/>
    <w:pitch w:val="variable"/>
    <w:sig w:usb0="A00002EF" w:usb1="4000207B" w:usb2="00000000" w:usb3="00000000" w:csb0="0000019F" w:csb1="00000000"/>
  </w:font>
  <w:font w:name="DokChampa">
    <w:panose1 w:val="020B0604020202020204"/>
    <w:charset w:val="00"/>
    <w:family w:val="swiss"/>
    <w:pitch w:val="variable"/>
    <w:sig w:usb0="03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167" w:rsidRDefault="00DB3423">
    <w:pPr>
      <w:pStyle w:val="Pidipagina"/>
    </w:pPr>
    <w:r>
      <w:fldChar w:fldCharType="begin"/>
    </w:r>
    <w:r>
      <w:instrText xml:space="preserve"> PAGE </w:instrText>
    </w:r>
    <w:r>
      <w:fldChar w:fldCharType="separate"/>
    </w:r>
    <w:r w:rsidR="002115C1">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3423" w:rsidRDefault="00DB3423">
      <w:pPr>
        <w:spacing w:after="0" w:line="240" w:lineRule="auto"/>
      </w:pPr>
      <w:r>
        <w:rPr>
          <w:color w:val="000000"/>
        </w:rPr>
        <w:separator/>
      </w:r>
    </w:p>
  </w:footnote>
  <w:footnote w:type="continuationSeparator" w:id="0">
    <w:p w:rsidR="00DB3423" w:rsidRDefault="00DB342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08"/>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
  <w:rsids>
    <w:rsidRoot w:val="00BF29DE"/>
    <w:rsid w:val="002115C1"/>
    <w:rsid w:val="00BF29DE"/>
    <w:rsid w:val="00DB3423"/>
  </w:rsids>
  <m:mathPr>
    <m:mathFont m:val="Cambria Math"/>
    <m:brkBin m:val="before"/>
    <m:brkBinSub m:val="--"/>
    <m:smallFrac m:val="0"/>
    <m:dispDef/>
    <m:lMargin m:val="0"/>
    <m:rMargin m:val="0"/>
    <m:defJc m:val="centerGroup"/>
    <m:wrapIndent m:val="1440"/>
    <m:intLim m:val="subSup"/>
    <m:naryLim m:val="undOvr"/>
  </m:mathPr>
  <w:themeFontLang w:val="it-I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C085F2-FEB1-4E28-A43D-5F6CE8FAC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F"/>
        <w:kern w:val="3"/>
        <w:sz w:val="22"/>
        <w:szCs w:val="22"/>
        <w:lang w:val="it-IT" w:eastAsia="en-US" w:bidi="ar-SA"/>
      </w:rPr>
    </w:rPrDefault>
    <w:pPrDefault>
      <w:pPr>
        <w:widowControl w:val="0"/>
        <w:autoSpaceDN w:val="0"/>
        <w:spacing w:after="160" w:line="251"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pPr>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widowControl/>
      <w:suppressAutoHyphens/>
    </w:pPr>
  </w:style>
  <w:style w:type="paragraph" w:customStyle="1" w:styleId="Heading">
    <w:name w:val="Heading"/>
    <w:basedOn w:val="Standard"/>
    <w:next w:val="Textbody"/>
    <w:pPr>
      <w:keepNext/>
      <w:spacing w:before="240" w:after="120"/>
    </w:pPr>
    <w:rPr>
      <w:rFonts w:ascii="Arial" w:eastAsia="Microsoft YaHei" w:hAnsi="Arial" w:cs="Lucida Sans"/>
      <w:sz w:val="28"/>
      <w:szCs w:val="28"/>
    </w:rPr>
  </w:style>
  <w:style w:type="paragraph" w:customStyle="1" w:styleId="Textbody">
    <w:name w:val="Text body"/>
    <w:basedOn w:val="Standard"/>
    <w:pPr>
      <w:spacing w:after="120"/>
    </w:pPr>
  </w:style>
  <w:style w:type="paragraph" w:styleId="Elenco">
    <w:name w:val="List"/>
    <w:basedOn w:val="Textbody"/>
    <w:rPr>
      <w:rFonts w:cs="Lucida Sans"/>
    </w:rPr>
  </w:style>
  <w:style w:type="paragraph" w:styleId="Didascalia">
    <w:name w:val="caption"/>
    <w:basedOn w:val="Standard"/>
    <w:pPr>
      <w:suppressLineNumbers/>
      <w:spacing w:before="120" w:after="120"/>
    </w:pPr>
    <w:rPr>
      <w:rFonts w:cs="Lucida Sans"/>
      <w:i/>
      <w:iCs/>
      <w:sz w:val="24"/>
      <w:szCs w:val="24"/>
    </w:rPr>
  </w:style>
  <w:style w:type="paragraph" w:customStyle="1" w:styleId="Index">
    <w:name w:val="Index"/>
    <w:basedOn w:val="Standard"/>
    <w:pPr>
      <w:suppressLineNumbers/>
    </w:pPr>
    <w:rPr>
      <w:rFonts w:cs="Lucida Sans"/>
    </w:rPr>
  </w:style>
  <w:style w:type="paragraph" w:styleId="Testonotaapidipagina">
    <w:name w:val="footnote text"/>
    <w:basedOn w:val="Standard"/>
    <w:pPr>
      <w:spacing w:after="0" w:line="240" w:lineRule="auto"/>
    </w:pPr>
    <w:rPr>
      <w:sz w:val="20"/>
      <w:szCs w:val="20"/>
    </w:rPr>
  </w:style>
  <w:style w:type="paragraph" w:styleId="Intestazione">
    <w:name w:val="header"/>
    <w:basedOn w:val="Standard"/>
    <w:pPr>
      <w:suppressLineNumbers/>
      <w:tabs>
        <w:tab w:val="center" w:pos="4819"/>
        <w:tab w:val="right" w:pos="9638"/>
      </w:tabs>
      <w:spacing w:after="0" w:line="240" w:lineRule="auto"/>
    </w:pPr>
  </w:style>
  <w:style w:type="paragraph" w:styleId="Pidipagina">
    <w:name w:val="footer"/>
    <w:basedOn w:val="Standard"/>
    <w:pPr>
      <w:suppressLineNumbers/>
      <w:tabs>
        <w:tab w:val="center" w:pos="4819"/>
        <w:tab w:val="right" w:pos="9638"/>
      </w:tabs>
      <w:spacing w:after="0" w:line="240" w:lineRule="auto"/>
    </w:pPr>
  </w:style>
  <w:style w:type="character" w:customStyle="1" w:styleId="TestonotaapidipaginaCarattere">
    <w:name w:val="Testo nota a piè di pagina Carattere"/>
    <w:basedOn w:val="Carpredefinitoparagrafo"/>
    <w:rPr>
      <w:sz w:val="20"/>
      <w:szCs w:val="20"/>
    </w:rPr>
  </w:style>
  <w:style w:type="character" w:styleId="Rimandonotaapidipagina">
    <w:name w:val="footnote reference"/>
    <w:basedOn w:val="Carpredefinitoparagrafo"/>
    <w:rPr>
      <w:position w:val="0"/>
      <w:vertAlign w:val="superscript"/>
    </w:rPr>
  </w:style>
  <w:style w:type="character" w:customStyle="1" w:styleId="IntestazioneCarattere">
    <w:name w:val="Intestazione Carattere"/>
    <w:basedOn w:val="Carpredefinitoparagrafo"/>
  </w:style>
  <w:style w:type="character" w:customStyle="1" w:styleId="PidipaginaCarattere">
    <w:name w:val="Piè di pagina Carattere"/>
    <w:basedOn w:val="Carpredefinitoparagrafo"/>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953</Words>
  <Characters>5437</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 Casillo</dc:creator>
  <cp:lastModifiedBy>Laura Frascarelli</cp:lastModifiedBy>
  <cp:revision>2</cp:revision>
  <dcterms:created xsi:type="dcterms:W3CDTF">2020-03-02T11:25:00Z</dcterms:created>
  <dcterms:modified xsi:type="dcterms:W3CDTF">2020-03-02T11:25:00Z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